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482"/>
          <w:tab w:val="left" w:pos="7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兴金办发〔2022〕</w:t>
      </w:r>
      <w:r>
        <w:rPr>
          <w:rFonts w:hint="eastAsia" w:ascii="仿宋_GB2312" w:hAnsi="仿宋_GB2312" w:cs="仿宋_GB231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lang w:val="en-US" w:eastAsia="zh-CN"/>
        </w:rPr>
        <w:t>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 xml:space="preserve">                     签发人：曹警民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关于印发《兴安盟金融支持“两个屏障”“两个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基地”“一个桥头堡”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落实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各旗、县、市金融办，各银行业金融机构：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为深入贯彻党的二十大精神，引导金融资源瞄准内蒙古“两个屏障”“两个基地”“ 一个桥头堡”战略定位，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围绕落实“五大任务”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立足兴安盟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发展实际，保障金融供给，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我办制定《兴安盟金融支持“两个屏障”“两个基地”“一个桥头堡”落实方案》，现印发给你们。请结合自身实际，抓好贯彻落实。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附件：《兴安盟金融支持“两个屏障”“两个基地”“一个桥头堡”落实方案》。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兴安盟行署金融工作办公室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2022年11月14日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1097915</wp:posOffset>
                </wp:positionV>
                <wp:extent cx="5580380" cy="15875"/>
                <wp:effectExtent l="0" t="6350" r="127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1395" y="9407525"/>
                          <a:ext cx="558038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6.45pt;height:1.25pt;width:439.4pt;mso-position-horizontal:center;mso-position-horizontal-relative:margin;z-index:251660288;mso-width-relative:page;mso-height-relative:page;" filled="f" stroked="t" coordsize="21600,21600" o:gfxdata="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F60J9gAAAAIAQAADwAAAAAAAAABACAAAAAiAAAAZHJzL2Rvd25yZXYueG1sUEsB&#10;AhQAFAAAAAgAh07iQJq5QV31AQAAwgMAAA4AAAAAAAAAAQAgAAAAJwEAAGRycy9lMm9Eb2MueG1s&#10;UEsFBgAAAAAGAAYAWQEAAI4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5580380" cy="15875"/>
                <wp:effectExtent l="0" t="6350" r="127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1395" y="9142730"/>
                          <a:ext cx="558038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.15pt;height:1.25pt;width:439.4pt;mso-position-horizontal:center;mso-position-horizontal-relative:margin;z-index:251659264;mso-width-relative:page;mso-height-relative:page;" filled="f" stroked="t" coordsize="21600,21600" o:gfxdata="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wz5hs1QAAAAQBAAAPAAAAAAAAAAEAIAAAACIAAABkcnMvZG93bnJldi54bWxQSwECFAAU&#10;AAAACACHTuJA7HaDDfQBAADCAwAADgAAAAAAAAABACAAAAAkAQAAZHJzL2Uyb0RvYy54bWxQSwUG&#10;AAAAAAYABgBZAQAAi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val="en-US" w:eastAsia="zh-CN"/>
        </w:rPr>
        <w:t>抄送：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人民银行乌兰浩特中心支行、兴安银保监分局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盟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交通局、商务口岸局、工信局、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农牧局、乡村振兴局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兴安盟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金融支持“两个屏障”“两个基地”“一个桥头堡”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落实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tabs>
          <w:tab w:val="left" w:pos="1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为深入贯彻党的二十大精神，引导金融资源瞄准内蒙古“两个屏障”“两个基地”“ 一个桥头堡”战略定位，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围绕落实“五大任务”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立足兴安盟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发展实际，保障金融供给，现提出以下方案。目标为：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2022-2025年，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兴安盟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银行业金融机构提供意向性信用和投资额度总额不低于人民币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 、支持筑牢北方重要生态安全屏障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做好生态安全重点领域金融服务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聚焦森林生态保育、沙地治理和矿山修复等领域重点客户，做好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文得根水库下游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灌区</w:t>
      </w:r>
      <w:r>
        <w:rPr>
          <w:rFonts w:hint="eastAsia" w:ascii="仿宋_GB2312" w:hAnsi="仿宋_GB2312" w:eastAsia="仿宋_GB2312" w:cs="仿宋_GB2312"/>
          <w:sz w:val="32"/>
          <w:szCs w:val="32"/>
        </w:rPr>
        <w:t>续建配套工程、引绰济辽一期、二期等重大水利工程项目服务。到2025年末，实现生态安全重点领域新投放金额不低于70亿元。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强化绿色生态领域金融服务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围绕自治区碳达峰碳中和领域重点项目，运用绿色信贷、绿色投行等多种融资工具，提供综合性金融服务。到2025年末，绿色信贷余额达到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支持筑牢祖国北疆安全稳定屏障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加强农村牧区金融服务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推动农村产权交易平台业务，实现两权贷款增量扩面，推广科右前旗农村产权交易平台建设经验。创新符合农村牧区的贷款产品，支持好种养、加工、商贸、流通全领域的家庭农场、专业大户、普通农牧户融资需求。到 2025 年末，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涉农涉牧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贷款新增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做好脱贫地区金融服务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持脱贫旗县信贷政策稳定，突出做好扎赉特旗、科右前旗、科右中旗3个国家级乡村振兴重点帮扶旗贷款投放工作；围绕《全盟“晓景计划”金融扶持清单》，按照重点帮扶旗产业带头人实际需求，引导金融机构精准发力、精准扶持，引领乡村振兴产业发展。到2025年末，重点帮扶旗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新增50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切实加大对小微企业的支持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化线上平台建设，拓宽兴安盟中小企业融资服务平台与银税互动平台、中征征信系统及各类信用信息平台的对接与合作，促进各平台的功能互补与业务协同，提高金融机构对企业的信用风险的评价能力。建立常态化、立体化政金企对接机制，组织金融机构聚焦重点领域、薄弱环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园区等金融服务需求，多维度开展对接下沉服务，“保入行动”要与项目建设“四季行动”有效衔接。落实延期还本付息政策，承担抵押评估费、登记费。到2025年末，普惠型小微企业法人贷款累计投放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0亿元以上。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支持建设国家重要农畜产品生产基地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做好农牧业重点产业金融服务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《金融支持重点产业链“1+N”金融服务工作方案》《金融机构服务兴安盟重点产业链行动方案》；加快出台《金融支持肉牛加工企业发展9条措施》《金融支持粮食收储企业发展9条措施》，深化产业链资金融通，积极提升产业链金融服务水平，扎实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金融助力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项目建设四季行动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四乡工程助力乡村振兴。发挥金融支持重点产业链牵头主办行作用，服务好农牧业产业化龙头企业；降低各类重点行业大中型企业中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期流动资金贷款准入门槛，增加产业链融资业务种类。到2025年末，农牧业重点产业新投放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做好奶业振兴金融服务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落实《兴安盟重点产业链1+N金融服务工作方案》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融资对接，引导金融机构创新支持奶业振兴特色金融产品，增加投放力度，支持奶业全面振兴。争取自治区奶业振兴专业基金下沉，从金融全产业链角度出发助力乡村振兴，聚焦重点领域和薄弱环节，提高资源配置的效率和水平，发挥基金投资对奶业的培育带动作用。积极推广活体抵押贷款投放，鼓励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动产抵押质押融资规模，鼓励第三方建立供应链综合服务平台。到2025年末，奶业振兴领域投融资新增不低于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支持建设国家重要能源和战略资源基地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全面支持新能源基地建设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对接中广核新能源、永林生物质热电、深能北方等重大项目，用好用足自治区贷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审批权限，持续对接本土企业新能源领域融资需求，做好金融服务。到2025年末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新能源领域新增贷款投放不低于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助力“科技兴盟”行动深入实施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重点支持科沁万佳、中蒙制药等项目建设，量身定制创新方案。推出适合科技领域的专属信贷产品，落实好贷款定价、规模匹配等政策。到2025年末，科创、专精特新等制造业贷款新增投放不低于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支持建设我国向北开放重要桥头堡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深化跨境贸易金融服务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探索符合口岸地区、跨境经济合作区涉外企业的金融产品，拓宽线上及线下跨境资金结算渠道，提供外汇衍生品服务，积极参与口岸建设。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加快对接交通基础设施建设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服务好国家和自治区“十四五”规划的重点交通项目建设，做好内蒙古公投公司兴安公司、内蒙古高路公司、内蒙古公交投公司等建设的突泉县通用机场建设项目、扎赉特旗至新林北公路建设项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阿尔山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乌兰浩特公路项目等交通项目金融服务，加大对通用机场建设项目的贷款投放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加大金融支持精品边防线建设。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到2025年末，围绕重点交通类项目预计新投放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六、建立工作机制务求实效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十二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制定落实清单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盟金融办制定需求清单、交卷清单，做到以需求促信贷投放，以交卷促任务落实，盟金融办、各金融机构定期向盟委、行署上报工作开展情况，并抄送各有关部门。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十三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建立联动机制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盟金融办牵头会同人民银行乌兰浩特中心支行、兴安银保监分局等金融管理部门和发改委、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交通局、商务口岸局、工信局、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农牧局、乡村振兴局等行业主管部门，与银行业金融机构建立常态化联动机制，定期召开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联席</w:t>
      </w:r>
      <w:r>
        <w:rPr>
          <w:rFonts w:hint="eastAsia" w:ascii="仿宋_GB2312" w:hAnsi="仿宋_GB2312" w:eastAsia="仿宋_GB2312" w:cs="仿宋_GB2312"/>
          <w:sz w:val="32"/>
          <w:szCs w:val="32"/>
        </w:rPr>
        <w:t>会，政金企三方协同联动、上下传导、同向发力，推动项目、业务落地转化。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BE1295-A689-45B9-B514-02369E7194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3523C7E-C18B-468A-8185-AB22C64335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450E5B4-8A4F-40D6-8BF7-31E2471E4F3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AD497C1-6E95-4299-BB24-AAD93C7F86D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32C27"/>
    <w:multiLevelType w:val="singleLevel"/>
    <w:tmpl w:val="D1132C27"/>
    <w:lvl w:ilvl="0" w:tentative="0">
      <w:start w:val="1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ZWFkMGYzNDMxYTk4YzNjZWFiN2JmN2Y3MDYxMzMifQ=="/>
  </w:docVars>
  <w:rsids>
    <w:rsidRoot w:val="0EEB18F5"/>
    <w:rsid w:val="042C0F45"/>
    <w:rsid w:val="04457004"/>
    <w:rsid w:val="07E8637B"/>
    <w:rsid w:val="0EEB18F5"/>
    <w:rsid w:val="25854A14"/>
    <w:rsid w:val="408067E5"/>
    <w:rsid w:val="40E45D8C"/>
    <w:rsid w:val="4F2D7EAA"/>
    <w:rsid w:val="5A925D13"/>
    <w:rsid w:val="60370CC3"/>
    <w:rsid w:val="68B43F67"/>
    <w:rsid w:val="6ABC311F"/>
    <w:rsid w:val="6B9B0F84"/>
    <w:rsid w:val="74D13C69"/>
    <w:rsid w:val="75B07D22"/>
    <w:rsid w:val="788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8" w:lineRule="exact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2441</Words>
  <Characters>2505</Characters>
  <Lines>0</Lines>
  <Paragraphs>0</Paragraphs>
  <TotalTime>814</TotalTime>
  <ScaleCrop>false</ScaleCrop>
  <LinksUpToDate>false</LinksUpToDate>
  <CharactersWithSpaces>2537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2022-11-08T07:38:00Z</dcterms:created>
  <dc:creator>大囍殿下</dc:creator>
  <cp:lastModifiedBy>喵了个咪的</cp:lastModifiedBy>
  <cp:lastPrinted>2022-11-16T01:35:07Z</cp:lastPrinted>
  <dcterms:modified xsi:type="dcterms:W3CDTF">2022-11-16T02:09:15Z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F65BC8FC0684430C9CCD6C62A8310564</vt:lpwstr>
  </property>
</Properties>
</file>